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B3" w:rsidRPr="002D0D66" w:rsidRDefault="000E0289" w:rsidP="00A95FF0">
      <w:pPr>
        <w:tabs>
          <w:tab w:val="left" w:pos="216"/>
        </w:tabs>
        <w:spacing w:after="0" w:line="240" w:lineRule="auto"/>
        <w:ind w:left="70"/>
        <w:jc w:val="both"/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</w:pPr>
      <w:r w:rsidRPr="002D0D66"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  <w:t>TABLA DE APLICABILIDAD</w:t>
      </w:r>
      <w:r w:rsidR="0044508C" w:rsidRPr="002D0D66"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  <w:t xml:space="preserve"> IAIP</w:t>
      </w:r>
      <w:r w:rsidRPr="002D0D66"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  <w:t xml:space="preserve"> </w:t>
      </w:r>
      <w:r w:rsidR="0086030A" w:rsidRPr="002D0D66"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  <w:t>de la</w:t>
      </w:r>
      <w:r w:rsidRPr="002D0D66"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  <w:t xml:space="preserve">s obligaciones de transparencia comunes </w:t>
      </w:r>
      <w:r w:rsidR="00351FC7" w:rsidRPr="002D0D66"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  <w:t xml:space="preserve">del </w:t>
      </w:r>
    </w:p>
    <w:p w:rsidR="0086030A" w:rsidRPr="002D0D66" w:rsidRDefault="0044508C" w:rsidP="00A95FF0">
      <w:pPr>
        <w:tabs>
          <w:tab w:val="left" w:pos="216"/>
        </w:tabs>
        <w:spacing w:after="0" w:line="240" w:lineRule="auto"/>
        <w:ind w:left="70"/>
        <w:jc w:val="both"/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</w:pPr>
      <w:r w:rsidRPr="002D0D66"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  <w:t>SUJETO OBLIGADO: UNIVERSIDA</w:t>
      </w:r>
      <w:r w:rsidR="00465334" w:rsidRPr="002D0D66"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  <w:t>D</w:t>
      </w:r>
      <w:r w:rsidRPr="002D0D66"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  <w:t xml:space="preserve"> DE LA SIERRA SUR.</w:t>
      </w:r>
    </w:p>
    <w:p w:rsidR="000F7861" w:rsidRPr="002D0D66" w:rsidRDefault="00B93E17" w:rsidP="00A95FF0">
      <w:pPr>
        <w:tabs>
          <w:tab w:val="left" w:pos="216"/>
        </w:tabs>
        <w:spacing w:after="0" w:line="240" w:lineRule="auto"/>
        <w:ind w:left="70"/>
        <w:jc w:val="both"/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</w:pPr>
      <w:r w:rsidRPr="002D0D66"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  <w:t xml:space="preserve">      </w:t>
      </w: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2955"/>
        <w:gridCol w:w="1155"/>
        <w:gridCol w:w="1276"/>
        <w:gridCol w:w="1418"/>
        <w:gridCol w:w="1559"/>
        <w:gridCol w:w="2268"/>
        <w:gridCol w:w="1984"/>
      </w:tblGrid>
      <w:tr w:rsidR="002D0D66" w:rsidRPr="002D0D66" w:rsidTr="004D66DD">
        <w:trPr>
          <w:trHeight w:val="907"/>
          <w:tblHeader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APLICA/NO APLICA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MOTIVACIÓN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FUNDAMENTO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UNIDAD ADMINISTRATIVA RESPONSABLE DE GENERAR LA INFORMACIÓN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VALIDACIÓN IAIP</w:t>
            </w:r>
          </w:p>
        </w:tc>
      </w:tr>
      <w:tr w:rsidR="002D0D66" w:rsidRPr="002D0D66" w:rsidTr="004D66DD">
        <w:trPr>
          <w:trHeight w:val="768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En la Ley Federal y de las Entidades Federativas se contemplará que los sujetos obligados pongan a disposición del público y mantengan actualizada, en los respectivos medios electrónicos, de acuerdo con sus facultades, atribuciones, funciones u objeto social, según corresponda, la información, por lo menos, de los temas, documentos y políticas que a continuación se señalan: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EL MARCO NORMATIVO APLICABLE AL SUJETO OBLIGADO, EN EL QUE DEBERÁ INCLUIRSE LEYES, CÓDIGOS, REGLAMENTOS, DECRETOS DE CREACIÓN, MANUALES ADMINISTRATIVOS, REGLAS DE OPERACIÓN, CRITERIOS, POLÍTICAS, ENTRE OTROS;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RECURSOS HUMANOS.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TODA LA LEGISLACION APLICABLE EN MATERIA DE  TRANSPARENCIA (CONSTITUCION LOCAL, FEDERAL, LEY DE TRANSPARENCIA)  Y LA LEGISTLACION INTERNA UE ACTUALMENTE SE TIENE PUBLICADA. 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</w:t>
            </w: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 </w:t>
            </w: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PERIODO DE ACTUALIZACION DE LA INFORMACION: TRIMESTRAL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2025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SU ESTRUCTURA ORGÁNICA COMPLETA, EN UN FORMATO QUE PERMITA VINCULAR CADA PARTE DE LA ESTRUCTURA, LAS ATRIBUCIONES Y RESPONSABILIDADES QUE LE CORRESPONDEN A CADA SERVIDOR PÚBLICO, PRESTADOR DE SERVICIOS PROFESIONALES O MIEMBRO DE LOS SUJETOS OBLIGADOS, DE CONFORMIDAD CON LAS DISPOSICIONES APLICABLES;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RECURSOS HUMANOS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EL ORGANIGRAMA DE LA UNIVERSIDAD DE LA SIERRA SUR ESTA ACTULIZADO EN LA VUAI.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510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III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LAS FACULTADES DE CADA ÁREA;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RECURSOS HUMANOS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DICHA INFORMACION SE ENCUENTRA YA ACTULIZADA EN LA VUAI.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927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IV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Las metas y objetivos de las Áreas de conformidad con sus programas operativos;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RECURSOS FINANCIEROS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LA INFORMACION REFERENTE AL PROGRAMA OPERATIVO ANUAL  (POA-03 EMITIDO POR EL SINPRES) SE ENCUENTRA EN LA VUAI. 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 xml:space="preserve">NOTA: PERIODO DE ACTUALIZACION DE LA INFORMACION: </w:t>
            </w: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lastRenderedPageBreak/>
              <w:t>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lastRenderedPageBreak/>
              <w:t>VALIDADA</w:t>
            </w:r>
          </w:p>
        </w:tc>
      </w:tr>
      <w:tr w:rsidR="002D0D66" w:rsidRPr="002D0D66" w:rsidTr="004D66DD">
        <w:trPr>
          <w:trHeight w:val="1236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Fracción V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 w:type="page"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 w:type="page"/>
              <w:t xml:space="preserve"> Los indicadores relacionados con temas de interés público o trascendencia social que conforme a sus funciones, deban establecer;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highlight w:val="red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VICE RECTORIA ACADEMICA, COORDINACION DE PROMOCION AL DESARROLLO Y COORDINACION DE DIFUSION DE LA CULTURA.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GENERAR UN INDICE POR CADA EJE (EDUCACIÓN, INVESTIGACIÓN, PROMOCION DEL DESARROLLO Y DIFUSION DE LA CULTURA)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ANUAL.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702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VI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Los indicadores que permitan rendir cuenta de sus objetivos y resultados;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RECURSOS FINANCIEROS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AVANCES DE GESTION, MIR DE CDA PROGRAMA PRESUPUSTARIO. ( EN TOTAL SON 5, GESTION, INVESTIGACION, …)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ANUAL.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157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VII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El directorio de todos los Servidores Públicos, a partir del nivel de jefe de departamento o su equivalente, o de menor nivel, cuando se brinde atención al público; manejen o apliquen recursos públicos; realicen actos de autoridad o presten servicios profesionales bajo el régimen de confianza u honorarios y personal de base. El directorio deberá incluir, al menos el nombre, cargo o nombramiento asignado, nivel del puesto en la estructura orgánica, fecha de alta en el cargo, número telefónico, domicilio para recibir correspondencia y dirección de correo electrónico oficiales;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RECURSOS HUMANOS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proofErr w:type="gramStart"/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DIRECTORIO ,</w:t>
            </w:r>
            <w:proofErr w:type="gramEnd"/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 SE TIENE ACTULIZADO EN LA VUAI.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24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VIII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 xml:space="preserve">La remuneración bruta y neta de todos los Servidores Públicos de base o de confianza, de todas las percepciones, incluyendo sueldos, prestaciones, gratificaciones, primas,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lastRenderedPageBreak/>
              <w:t>comisiones, dietas, bonos, estímulos, ingresos y sistemas de compensación, señalando la periodicidad de dicha remuneración;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lastRenderedPageBreak/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RECURSOS HUMANOS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DOCUMENTO ENVIADO A LA SECRETARIA DE LA CONTRALORIA DEL GOBIERNO DEL ESTADO DE OAXACA, PARA SU </w:t>
            </w: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lastRenderedPageBreak/>
              <w:t xml:space="preserve">ANUENCIA Y PUBLICACION. </w:t>
            </w: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lastRenderedPageBreak/>
              <w:t>VALIDADA</w:t>
            </w:r>
          </w:p>
        </w:tc>
      </w:tr>
      <w:tr w:rsidR="002D0D66" w:rsidRPr="002D0D66" w:rsidTr="004D66DD">
        <w:trPr>
          <w:trHeight w:val="64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IX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Los gastos de representación y viáticos, así como el objeto e informe de comisión correspondiente;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RECURSOS FINANCIEROS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REPORTE EMITIDO POR VIATIC A LA SECRETARIA DE LA VICE RECTORIA DE ADMINISTRACION. 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111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 w:type="page"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 w:type="page"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 w:type="page"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 w:type="page"/>
              <w:t>El número total de las plazas y del personal de base y confianza, especificando el total de las vacantes, por nivel de puesto, para cada unidad administrativa;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RECURSOS HUMANOS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DOCUMENTO QUE CONTIENE EL NUMERO DE PLAZAS  (FORMATO DE LA ENTREGA RECEPCION)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139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Las contrataciones de servicios profesionales por honorarios, señalando los nombres de los prestadores de servicios, los servicios contratados, el monto de los honorarios y el periodo de contratación;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Es aplicable en términos de los Lineamientos Técnicos Generales para la publicación, homologación y estandarización de la información en relación con el artículo 1 de su reglamento interior de trabajo.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133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La información en Versión Pública de las declaraciones patrimoniales de los Servidores Públicos que así lo determinen, en los sistemas habilitados para ello, de acuerdo a la normatividad aplicable;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Es aplicable en términos de los Lineamientos Técnicos Generales para la publicación, homologación y estandarización de la información, sin embargo no se tiene el consentimiento de los titulares para hacer pública su declaración patrimonial en relación con el Reglamento Interno de la Universidad.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98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XIII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El domicilio de la Unidad de Transparencia, además de la dirección electrónica donde podrán recibirse las solicitudes para obtener la información;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UNIDAD DE TRANSPARENCIA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YA ESTA PUBLICADA LA INFORMACION EN LA VUAI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MENSUAL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70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XIV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Las convocatorias a concursos para ocupar cargos públicos y los resultados de los mismos;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Es aplicable en términos de los Lineamientos Técnicos Generales para la publicación, homologación y estandarización de la información, artículo 22 de su Reglamento Interno.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154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 w:type="page"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 w:type="page"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Fracción XV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 w:type="page"/>
              <w:t>La información de los programas de subsidios, estímulos y apoyos, en el que se deberá informar respecto de los programas de transferencia, de servicios, de infraestructura social y de subsidio, en los que se deberá contener lo siguiente: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 w:type="page"/>
              <w:t>...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Es aplicable en términos de los Lineamientos Técnicos Generales para la publicación, homologación y estandarización de la información, en relación con el artículo 11 de la Ley Estatal de Presupuesto del Estado.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184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XVI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Las condiciones generales de trabajo, contratos o convenios que regulen las relaciones laborales del personal de base o de confianza, así como los recursos públicos económicos, en especie o donativos, que sean entregados a los sindicatos y ejerzan como recursos públicos;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RECURSOS HUMANOS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LOS FORMATOS DE LOS CONTRATOS LABORALES QUE ACTUALAMENTE SE TIENEN EN LA VUAI. FALTA AGREGAR LA LEY FEDERAL DE TRABAJO, REGLAMENTO INTERIOR DE TRABAJO DE LA UNSIS.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139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 w:type="page"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 w:type="page"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Fracción XVII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 w:type="page"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 w:type="page"/>
              <w:t xml:space="preserve"> La información curricular, desde el nivel de jefe de departamento o equivalente, hasta el titular del sujeto obligado, así como, en su caso, las sanciones administrativas de que haya sido objeto;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RECURSOS HUMANOS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CURRICULUM DE LOS SERVIDORES PUBLICOS DE ACUERDO AL ORGANIGRAMA (ESTRACTO DEL MANUAL DE ORGANIZACIÓN)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97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XVIII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El listado de Servidores Públicos con sanciones administrativas definitivas, especificando la causa de sanción y la disposición;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ES APLICABLE EN TÉRMINOS DE LOS LINEAMIENTOS TÉCNICOS GENERALES PARA LA PUBLICACIÓN, HOMOLOGACIÓN Y ESTANDARIZACIÓN DE LA INFORMACIÓN NO SE HAN TENIDO SANCIONES ADMINISTRATIVAS  DEFINITIVAS.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82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XIX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Los servicios que ofrecen señalando los requisitos para acceder a ellos;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jc w:val="both"/>
              <w:rPr>
                <w:highlight w:val="red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BILBIOTECA Y CLINICA UNIVERSITARIA.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INFORMACIÓN SE ENCUENTRA  CARGADA Y ACTULIZADA EN LA VUAI.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67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Los trámites, requisitos y formatos que ofrecen;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SERVICIOS ESCOLARES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INFORMACION SE ENCUENTRA CARGADA Y ACTULIZADA.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154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La información financiera sobre el presupuesto asignado, así como los informes del ejercicio trimestral del gasto, en términos de la Ley General de Contabilidad Gubernamental y demás normatividad aplicable;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RECURSOS FINANCIEROS.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FORMATO POA-07 EMITIDO POR EL SINPRES (ACTULIZARLO PORQUE YA ESTA CARGADO EN LA VUAI)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92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La información relativa a la deuda pública, en términos de la normatividad aplicable;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DD" w:rsidRPr="002D0D66" w:rsidRDefault="004D66DD" w:rsidP="00A95FF0">
            <w:pPr>
              <w:spacing w:before="100" w:beforeAutospacing="1" w:after="24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NO APLICA PARA EL ENTE PUBLICO POR NO ENCONTRARSE EN LOS SUPUESTOS QUE ESTABLECE EL CODIGO FISCAL DE LA </w:t>
            </w: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lastRenderedPageBreak/>
              <w:t>FEDERACIÓN.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lastRenderedPageBreak/>
              <w:t xml:space="preserve">La Secretaria de Finanzas del Gobierno del Estado es el único sujeto obligado responsable de </w:t>
            </w:r>
            <w:r w:rsidRPr="002D0D66">
              <w:lastRenderedPageBreak/>
              <w:t>proporcionar la información pública de oficio relativa a la deuda pública estatal, establecida en la fracción XI del artículo 9 de la Ley de Transparencia y Acceso a la información Pública del Estado de Oaxaca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123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XXIII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Los montos destinados a gastos relativos a comunicación social y publicidad oficial desglosada por tipo de medio, proveedores, número de contrato y concepto o campaña;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RECURSOS MATERIALES.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INFORMACION  QUE DETALLA LOS GASTOS EJECUTADOS RELATIVOS A PROMOCION DE LA UNIVERSIDAD, EVENTOS, SEMANA DE LAS CULTURAS, ETC. (FORMATO 23ª DEL ANEXO 1 DE OBLIGACIONES DE TRANSPARENCIA.)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123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XXIV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Los informes de resultados de las auditorías al ejercicio presupuestal de cada sujeto obligado que se realicen y, en su caso, las aclaraciones que correspondan;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VICE-RECTORIA DE ADMINISTRACIÓN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ACTULIZAR LA INFORMACIÓN PORQUE YA ESTA CARGADA EN LA VUAI.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71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XXV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El resultado de la dictaminación de los estados financieros;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CODIGO FISCAL DE LA FEDERACION ARTICULO 32 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101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XXVI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Los montos, criterios, convocatorias y listado de personas físicas o morales a quienes, por cualquier motivo, se les asigne o permita usar recursos públicos o, en los términos de las disposiciones aplicables, realicen actos de autoridad. Asimismo, los informes que dichas personas les entreguen sobre el uso y destino de dichos recursos;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ES APLICABLE EN TÉRMINOS DE LOS LINEAMIENTOS TÉCNICOS GENERALES PARA LA PUBLICACIÓN, HOMOLOGACIÓN Y ESTANDARIZACIÓN DE LA INFORMACIÓN.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185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XXVII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Las concesiones, contratos, convenios, permisos, licencias o autorizaciones otorgados, especificando los titulares de aquéllos, debiendo publicarse su objeto, nombre o razón social del titular, vigencia, tipo, términos, condiciones, monto y modificaciones, así como si el procedimiento involucra el aprovechamiento de bienes, servicios y/o recursos públicos;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 RECURSOS MATERIALES.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CONCESIONES DE CAFETERIA, FOTOCOPIADORA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DICHA INFORMACION  YA SE ENCUENTRA EN  LA VUAI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182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XXVIII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La información sobre los resultados sobre procedimientos de adjudicación directa, invitación restringida y licitación de cualquier naturaleza, incluyendo la Versión Pública del Expediente respectivo y de los contratos celebrados, que deberá contener, por lo menos, lo siguiente:…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 RECURSOS MATERIALES.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ACTULIZAR INFORMACIÓN (COMPRAS MAYORES) YA ESTA CARGADA E LA VUAI.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69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XXIX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 xml:space="preserve">Los informes que por disposición legal generen los sujetos obligados;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TODAS LAS AREAS, Y/O DEPARTAMENTOS DE LA UNSIS. LO CONCENTRA EL TITULAR DE LA UNIDAD DE TRANSPARENCIA.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ACTUALIZAR PORQUE YA ESTA CARGADA EN LA VUAI, LISTADO DE INFORMES.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99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XXX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Las estadísticas que generen en cumplimiento de sus facultades, competencias o funciones con la mayor desagregación posible;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SERVICIOS ESCOLARES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ESTADISTICAS QUE GENERE UN DEPARTAMENTO COMO LA ESTADISTICA DE NUMERO ALUMNOS. UTILIZAR EL FORMATO QUE VIENE EN EL ANEXO I OBLIGACIONES DE TRANSPARENCIA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.</w:t>
            </w: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 xml:space="preserve"> NOTA: PERIODO DE ACTUALIZACION DE LA INFORMACION: 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69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XXXI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Informe de avances programáticos o presupuestales, balances generales y su estado financiero;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RECURSOS FINANCIEROS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ACTUALIZAR INFORMACION: AVANCES PROGRAMATICOS O PRESUPUESTALES, BALANZA GENERAL Y ESTADOS FINANCIEROS.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55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XXXII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Padrón de proveedores y contratistas;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RECURSOS MATERIALES.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PADRON DE PROVEEDORES SIEMPRE Y CUANDO LA INFORMACION NO SEA RESERVADA (FORMATO 32 DEL ANEXO I DE OBLIGACIONES DE TRANSPARENCIA)</w:t>
            </w: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 xml:space="preserve"> NOTA: PERIODO DE ACTUALIZACION DE LA INFORMACION: TRIMESTRAL</w:t>
            </w: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71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XXXIII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Los convenios de coordinación de concertación con los sectores social y privado;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APLICA 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RECURSOS MATERIALES.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VERSION PUBLICA DEL CONVENIO FIRMADO DE ACUERDO A LA FRACCION XXVII O ELABORAR TABLA COMO LA DEL FORMATO  33 DEL ANEXO I “OBLIGACIONES DE TRANSPARENCIA”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79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XXXIV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El inventario de bienes muebles e inmuebles en posesión y propiedad;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DEPARTAMENTO DE RECURSOS MATERIALES.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INVENTARIO EMITIDO POR SICIPO 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133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XXXV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Las recomendaciones emitidas por los órganos públicos del Estado mexicano u organismos internacionales garantes de los derechos humanos, así como las acciones que han llevado a cabo para su atención;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 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ES APLICABLE EN TÉRMINOS DE LOS LINEAMIENTOS TÉCNICOS GENERALES PARA LA PUBLICACIÓN, HOMOLOGACIÓN Y ESTANDARIZACIÓN DE LA INFORMACIÓN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32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XXXVI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Las resoluciones y laudos que se emitan en procesos o procedimientos seguidos en forma de juicio;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ES APLICABLE EN TÉRMINOS DE LOS LINEAMIENTOS TÉCNICOS GENERALES PARA LA PUBLICACIÓN, HOMOLOGACIÓN Y ESTANDARIZACIÓN DE LA INFORMACIÓN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66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XXXVII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Los mecanismos de participación ciudadana;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ES APLICABLE EN TÉRMINOS DE LOS LINEAMIENTOS TÉCNICOS GENERALES PARA LA PUBLICACIÓN, HOMOLOGACIÓN Y ESTANDARIZACIÓN DE LA INFORMACIÓN EN RELACIÓN AL ARTICULO 25 INCISO C FRACCION IV DE LA CONSTITUCIÓN POLITICA DEL ESTADO LIBRE Y SOBERANO DE OAXACA.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123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XXXVIII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Los programas que ofrecen, incluyendo información sobre la población, objetivo y destino, así como los trámites, tiempos de respuesta, requisitos y formatos para acceder a los mismos;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COORDINACION DE PROMOCION AL DESARROLLO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SOLICITAR INFORMACION AL COORDINADOR DE PROMOCION AL DESARROLLO ( ADECUAR EL FORMATO 38 DEL ANEXO I DE LAS OBLIGACIONES DE TRANSPARENCIA) 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72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XXXIX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Las actas y resoluciones del Comité de Transparencia de los sujetos obligados;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SECRETARIO TECNICO DEL COMITÉ DE TRANSPARENCIA Y ACCESO A LA INFORMACIÓN PÚBLICA DE LA UNSIS.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ACTAS EN VERSION </w:t>
            </w:r>
            <w:proofErr w:type="gramStart"/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PUBLICA</w:t>
            </w:r>
            <w:proofErr w:type="gramEnd"/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 DE  LAS SESIONES DEL COMITÉ DE LA UNSIS.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97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XL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Todas las evaluaciones y encuestas que hagan los sujetos obligados a programas financiados con recursos públicos;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VICE-RECTORIA ADMINISTRATIVA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ACTUALMENTE NO SE HAN REALIZADO Y APLICADO ENCUESTAS A PROGRAMAS FINANCIADOS CON RECURSO FEDERAL.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ANUAL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41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XLI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Los estudios financiados con recursos públicos;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VICE-RECTORIA ADMINISTRATIVA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CHECAR SI AQUÍ ENTRARIAN LAS INVESTIGACIONES REALIZADAS POR LOS PTC YA QUE SI TENEMOS ASIGNADO RECURSO PUBLICO PARA EL PROGRAMA DE INVESTIGACIÓN EN EL POA.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46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XLII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El listado de jubilados y pensionados y el monto que reciben;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 APLICA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ES APLICABLE EN TÉRMINOS DE LOS LINEAMIENTOS TÉCNICOS GENERALES PARA LA PUBLICACIÓN, HOMOLOGACIÓN Y ESTANDARIZACIÓN DE LA INFORMACIÓN ADEMÁS QUA LA INFORMACIÓN PODRA SER CONSULTADA EN LA PAGINA http://www.imss.gob.mx/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123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XLIII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Los ingresos recibidos por cualquier concepto señalando el nombre de los responsables de recibirlos, administrarlos y ejercerlos, así como su destino, indicando el destino de cada uno de ellos;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VICE-RECTORIA DE ADMINISTRACIÓN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CORRESPONDE  A LOS FONDOS QUE CORRESPONDAN AL RAMO 33 (FORMATO 43 DEL ANEXO I “OBLIGACIONES  DE TRANSPARENCIA”) 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43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XLIV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Donaciones hechas a terceros en dinero o en especie;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ES APLICABLE EN TÉRMINOS DE LOS LINEAMIENTOS TÉCNICOS GENERALES PARA LA PUBLICACIÓN, HOMOLOGACIÓN Y ESTANDARIZACIÓN DE LA INFORMACIÓN EN RELACIÓN A LOS ARTÍCULOS 2 FRACCIÓN XX y 76 DE LA LEY ESTATAL DE PRESUPUESTO DEL ESTADO DE OAXACA.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48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XLV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El catálogo de disposición y guía de archivo documental;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COORDINADOR DE ARCHIVO DE LA UNIVERSIDAD DE LA SIERRA SUR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CATALOGO DE DISPOSICION DOCUMENTAL (CADIDO)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90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XLVI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Las actas de sesiones ordinarias y extraordinarias, así como las opiniones y recomendaciones que emitan, en su caso, los consejos consultivos;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VICE RECTORIA DE ADMINISTRACIÓN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 ACTAS DE SESIONES DEL H. CONSEJO ACADEMICO SOLO LAS QUE NO SEAN RESERVADAS. EN CASO DE QUE SI APLIQUE UTILIZARIAMOS EL FORMATO 46ª DEL ANEXO I “OBLIGACIONES DE TRANSPARENCIA”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sz w:val="18"/>
                <w:szCs w:val="18"/>
                <w:lang w:eastAsia="es-MX"/>
              </w:rPr>
              <w:t>NOTA: PERIODO DE ACTUALIZACION DE LA INFORMACION: TRIMESTRAL</w:t>
            </w:r>
          </w:p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2D0D66" w:rsidRPr="002D0D66" w:rsidTr="004D66DD">
        <w:trPr>
          <w:trHeight w:val="133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XLVII </w:t>
            </w:r>
            <w:r w:rsidRPr="002D0D66">
              <w:rPr>
                <w:rFonts w:eastAsia="Times New Roman" w:cs="Arial"/>
                <w:i/>
                <w:iCs/>
                <w:sz w:val="18"/>
                <w:szCs w:val="18"/>
                <w:lang w:eastAsia="es-MX"/>
              </w:rPr>
              <w:t>Para efectos estadísticos, el listado de solicitudes a las empresas concesionarias de telecomunicaciones y proveedores de servicios o aplicaciones de Internet para la intervención de comunicaciones privadas, el acceso al registro de comunicaciones y la localización geográfica en tiempo real de equipos de comunicación, que contenga exclusivamente el objeto, el alcance temporal y los fundamentos legales del requerimiento, así como, en su caso, la mención de que cuenta con la autorización judicial correspondiente, y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pStyle w:val="Textoindependiente"/>
              <w:spacing w:line="289" w:lineRule="auto"/>
              <w:ind w:left="113" w:right="119"/>
              <w:jc w:val="both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ESTA FRACCCION NO APLICA, EN TANTO QUE SOMOS UNA INSTITUCIÓN QUE IMPARTE EDUCACIÓN Y NO EL EJERCICIO DE LA JUSTICIA.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  <w:tr w:rsidR="004D66DD" w:rsidRPr="002D0D66" w:rsidTr="004D66DD">
        <w:trPr>
          <w:trHeight w:val="123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70</w:t>
            </w: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br/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 xml:space="preserve">Fracción XLVIII </w:t>
            </w:r>
            <w:r w:rsidRPr="002D0D66">
              <w:rPr>
                <w:rFonts w:eastAsia="Times New Roman" w:cs="Times New Roman"/>
                <w:i/>
                <w:iCs/>
                <w:sz w:val="18"/>
                <w:szCs w:val="18"/>
                <w:lang w:eastAsia="es-MX"/>
              </w:rPr>
              <w:t>Cualquier otra información que sea de utilidad o se considere relevante, además de la que, con base en la información estadística, responda a las preguntas hechas con más frecuencia por el público.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TODAS LAS AREAS Y DEPARTAMENTOS DE LA UNIVERSIDAD.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A95FF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 xml:space="preserve">INFORMACIÓN QUE SEA DE CARÁCTER PÚIBLICO, QUE NO FORME PARTE DE LAS FRACCIONES ANTERIORES Y QUE PUEDA REALIZAR LA LABOR DE LA INSTITUCION.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DD" w:rsidRPr="002D0D66" w:rsidRDefault="004D66DD" w:rsidP="004D66DD">
            <w:pPr>
              <w:jc w:val="center"/>
            </w:pPr>
            <w:r w:rsidRPr="002D0D66">
              <w:rPr>
                <w:rFonts w:eastAsia="Times New Roman" w:cs="Times New Roman"/>
                <w:sz w:val="18"/>
                <w:szCs w:val="18"/>
                <w:lang w:eastAsia="es-MX"/>
              </w:rPr>
              <w:t>VALIDADA</w:t>
            </w:r>
          </w:p>
        </w:tc>
      </w:tr>
    </w:tbl>
    <w:p w:rsidR="0086030A" w:rsidRPr="002D0D66" w:rsidRDefault="0086030A" w:rsidP="00A95FF0">
      <w:pPr>
        <w:jc w:val="both"/>
        <w:rPr>
          <w:b/>
          <w:sz w:val="18"/>
          <w:szCs w:val="18"/>
        </w:rPr>
      </w:pPr>
    </w:p>
    <w:p w:rsidR="002D0D66" w:rsidRPr="002D0D66" w:rsidRDefault="002D0D66" w:rsidP="002D0D66">
      <w:pPr>
        <w:pStyle w:val="CuerpoA"/>
        <w:tabs>
          <w:tab w:val="left" w:pos="216"/>
        </w:tabs>
        <w:spacing w:after="0" w:line="240" w:lineRule="auto"/>
        <w:ind w:firstLine="70"/>
        <w:jc w:val="both"/>
        <w:rPr>
          <w:color w:val="auto"/>
        </w:rPr>
      </w:pPr>
      <w:r w:rsidRPr="002D0D66">
        <w:rPr>
          <w:color w:val="auto"/>
        </w:rPr>
        <w:t xml:space="preserve">La validación de la  presente  tabla de aplicabilidad es susceptible de ser modificada cuando lo considere viable este Órgano Garante con base a la normatividad en la materia. </w:t>
      </w:r>
    </w:p>
    <w:p w:rsidR="002D0D66" w:rsidRPr="002D0D66" w:rsidRDefault="002D0D66" w:rsidP="002D0D66">
      <w:pPr>
        <w:jc w:val="right"/>
        <w:rPr>
          <w:b/>
          <w:i/>
          <w:sz w:val="18"/>
          <w:szCs w:val="18"/>
        </w:rPr>
      </w:pPr>
      <w:r w:rsidRPr="002D0D66">
        <w:t xml:space="preserve">Oaxaca de Juárez </w:t>
      </w:r>
      <w:proofErr w:type="spellStart"/>
      <w:r w:rsidRPr="002D0D66">
        <w:t>Oax</w:t>
      </w:r>
      <w:proofErr w:type="spellEnd"/>
      <w:r w:rsidRPr="002D0D66">
        <w:t>., dieciocho  de enero  de dos mil diecisiete.</w:t>
      </w:r>
    </w:p>
    <w:p w:rsidR="002D0D66" w:rsidRPr="002D0D66" w:rsidRDefault="002D0D66" w:rsidP="002D0D66">
      <w:pPr>
        <w:jc w:val="center"/>
        <w:rPr>
          <w:sz w:val="24"/>
          <w:szCs w:val="24"/>
        </w:rPr>
      </w:pPr>
      <w:r w:rsidRPr="002D0D66">
        <w:t xml:space="preserve">ELABORÓ                                                                                                                                               </w:t>
      </w:r>
      <w:proofErr w:type="spellStart"/>
      <w:r w:rsidRPr="002D0D66">
        <w:t>Vo</w:t>
      </w:r>
      <w:proofErr w:type="spellEnd"/>
      <w:r w:rsidRPr="002D0D66">
        <w:t>. Bo.</w:t>
      </w:r>
    </w:p>
    <w:p w:rsidR="002D0D66" w:rsidRPr="002D0D66" w:rsidRDefault="002D0D66" w:rsidP="002D0D66">
      <w:pPr>
        <w:jc w:val="center"/>
      </w:pPr>
    </w:p>
    <w:p w:rsidR="002D0D66" w:rsidRPr="002D0D66" w:rsidRDefault="002D0D66" w:rsidP="002D0D66">
      <w:pPr>
        <w:jc w:val="center"/>
        <w:rPr>
          <w:b/>
          <w:sz w:val="18"/>
          <w:szCs w:val="18"/>
        </w:rPr>
      </w:pPr>
      <w:r w:rsidRPr="002D0D66">
        <w:t>LIC. THOMAS AGUILAR MENDOZA</w:t>
      </w:r>
      <w:r w:rsidRPr="002D0D66">
        <w:tab/>
      </w:r>
      <w:r w:rsidRPr="002D0D66">
        <w:tab/>
      </w:r>
      <w:r w:rsidRPr="002D0D66">
        <w:tab/>
        <w:t xml:space="preserve">                                                     LIC.  RICARDO DORANTES JIMENEZ</w:t>
      </w:r>
    </w:p>
    <w:p w:rsidR="00E70730" w:rsidRPr="002D0D66" w:rsidRDefault="00E70730" w:rsidP="002D0D66">
      <w:pPr>
        <w:jc w:val="both"/>
        <w:rPr>
          <w:b/>
          <w:sz w:val="18"/>
          <w:szCs w:val="18"/>
        </w:rPr>
      </w:pPr>
      <w:bookmarkStart w:id="0" w:name="_GoBack"/>
      <w:bookmarkEnd w:id="0"/>
    </w:p>
    <w:sectPr w:rsidR="00E70730" w:rsidRPr="002D0D66" w:rsidSect="0086030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6D04"/>
    <w:rsid w:val="00040E3E"/>
    <w:rsid w:val="00043FEB"/>
    <w:rsid w:val="00045A4B"/>
    <w:rsid w:val="000475C1"/>
    <w:rsid w:val="00050907"/>
    <w:rsid w:val="00067779"/>
    <w:rsid w:val="000826F1"/>
    <w:rsid w:val="0008422D"/>
    <w:rsid w:val="000E0289"/>
    <w:rsid w:val="000E7563"/>
    <w:rsid w:val="000F7861"/>
    <w:rsid w:val="001031AE"/>
    <w:rsid w:val="001250BD"/>
    <w:rsid w:val="0015305A"/>
    <w:rsid w:val="00164F60"/>
    <w:rsid w:val="00170CE6"/>
    <w:rsid w:val="00171E06"/>
    <w:rsid w:val="001A0126"/>
    <w:rsid w:val="001B1A08"/>
    <w:rsid w:val="001F1476"/>
    <w:rsid w:val="00251753"/>
    <w:rsid w:val="00252EF4"/>
    <w:rsid w:val="00253A91"/>
    <w:rsid w:val="00254F60"/>
    <w:rsid w:val="00260CE5"/>
    <w:rsid w:val="002A1093"/>
    <w:rsid w:val="002D0A80"/>
    <w:rsid w:val="002D0D66"/>
    <w:rsid w:val="002F30F9"/>
    <w:rsid w:val="002F34FF"/>
    <w:rsid w:val="00315A2F"/>
    <w:rsid w:val="00330D74"/>
    <w:rsid w:val="0034728F"/>
    <w:rsid w:val="00351FC7"/>
    <w:rsid w:val="0035573C"/>
    <w:rsid w:val="00366B5B"/>
    <w:rsid w:val="00383646"/>
    <w:rsid w:val="003909AD"/>
    <w:rsid w:val="003C088F"/>
    <w:rsid w:val="003C1ED5"/>
    <w:rsid w:val="003D1353"/>
    <w:rsid w:val="003E13B0"/>
    <w:rsid w:val="0040173F"/>
    <w:rsid w:val="00437B1B"/>
    <w:rsid w:val="0044508C"/>
    <w:rsid w:val="00465309"/>
    <w:rsid w:val="00465334"/>
    <w:rsid w:val="004973C4"/>
    <w:rsid w:val="004A2BAC"/>
    <w:rsid w:val="004D1952"/>
    <w:rsid w:val="004D66DD"/>
    <w:rsid w:val="004F08BD"/>
    <w:rsid w:val="00535D22"/>
    <w:rsid w:val="005631D1"/>
    <w:rsid w:val="00586D04"/>
    <w:rsid w:val="005B04ED"/>
    <w:rsid w:val="005B619B"/>
    <w:rsid w:val="005D5ACD"/>
    <w:rsid w:val="005F0CA3"/>
    <w:rsid w:val="005F3BA7"/>
    <w:rsid w:val="006028A3"/>
    <w:rsid w:val="006233EB"/>
    <w:rsid w:val="00630490"/>
    <w:rsid w:val="00631E99"/>
    <w:rsid w:val="00636C45"/>
    <w:rsid w:val="00643DFB"/>
    <w:rsid w:val="006522F1"/>
    <w:rsid w:val="006571CF"/>
    <w:rsid w:val="00657231"/>
    <w:rsid w:val="0066658D"/>
    <w:rsid w:val="006939A1"/>
    <w:rsid w:val="006C0AFE"/>
    <w:rsid w:val="006D2439"/>
    <w:rsid w:val="006F43E5"/>
    <w:rsid w:val="0071791C"/>
    <w:rsid w:val="00737DE1"/>
    <w:rsid w:val="00753598"/>
    <w:rsid w:val="00770FDE"/>
    <w:rsid w:val="00833AD9"/>
    <w:rsid w:val="008375A5"/>
    <w:rsid w:val="00850E48"/>
    <w:rsid w:val="0086030A"/>
    <w:rsid w:val="008977C2"/>
    <w:rsid w:val="008B2464"/>
    <w:rsid w:val="009332D7"/>
    <w:rsid w:val="00950D6A"/>
    <w:rsid w:val="00960BE1"/>
    <w:rsid w:val="0099078E"/>
    <w:rsid w:val="009936C2"/>
    <w:rsid w:val="009D04CF"/>
    <w:rsid w:val="009D668B"/>
    <w:rsid w:val="00A40108"/>
    <w:rsid w:val="00A418BC"/>
    <w:rsid w:val="00A520F8"/>
    <w:rsid w:val="00A81766"/>
    <w:rsid w:val="00A902C8"/>
    <w:rsid w:val="00A95FF0"/>
    <w:rsid w:val="00A973F8"/>
    <w:rsid w:val="00AA0D16"/>
    <w:rsid w:val="00AC6977"/>
    <w:rsid w:val="00AF5B0C"/>
    <w:rsid w:val="00AF6394"/>
    <w:rsid w:val="00B41253"/>
    <w:rsid w:val="00B85364"/>
    <w:rsid w:val="00B93E17"/>
    <w:rsid w:val="00BC1ABB"/>
    <w:rsid w:val="00C17A9E"/>
    <w:rsid w:val="00C23B58"/>
    <w:rsid w:val="00C374E4"/>
    <w:rsid w:val="00C66DDE"/>
    <w:rsid w:val="00C70B90"/>
    <w:rsid w:val="00C83B9D"/>
    <w:rsid w:val="00C917F6"/>
    <w:rsid w:val="00CA02AF"/>
    <w:rsid w:val="00CA1AE6"/>
    <w:rsid w:val="00CB482A"/>
    <w:rsid w:val="00CD79D3"/>
    <w:rsid w:val="00CF5966"/>
    <w:rsid w:val="00D00934"/>
    <w:rsid w:val="00D00F2F"/>
    <w:rsid w:val="00D04712"/>
    <w:rsid w:val="00D30671"/>
    <w:rsid w:val="00D377CD"/>
    <w:rsid w:val="00D840AC"/>
    <w:rsid w:val="00D959B1"/>
    <w:rsid w:val="00DD5C8F"/>
    <w:rsid w:val="00DE2A64"/>
    <w:rsid w:val="00DE4040"/>
    <w:rsid w:val="00DF2BB3"/>
    <w:rsid w:val="00E029AA"/>
    <w:rsid w:val="00E3248E"/>
    <w:rsid w:val="00E3603D"/>
    <w:rsid w:val="00E63401"/>
    <w:rsid w:val="00E70730"/>
    <w:rsid w:val="00E774C4"/>
    <w:rsid w:val="00E9431B"/>
    <w:rsid w:val="00EA17DD"/>
    <w:rsid w:val="00EB1E59"/>
    <w:rsid w:val="00EC4A58"/>
    <w:rsid w:val="00EF0C37"/>
    <w:rsid w:val="00EF1F0E"/>
    <w:rsid w:val="00F014F6"/>
    <w:rsid w:val="00F07324"/>
    <w:rsid w:val="00F24DB9"/>
    <w:rsid w:val="00F64C51"/>
    <w:rsid w:val="00FB63E5"/>
    <w:rsid w:val="00FC37AE"/>
    <w:rsid w:val="00FD602E"/>
    <w:rsid w:val="00FE0336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0A"/>
  </w:style>
  <w:style w:type="paragraph" w:styleId="Ttulo1">
    <w:name w:val="heading 1"/>
    <w:basedOn w:val="Normal"/>
    <w:next w:val="Normal"/>
    <w:link w:val="Ttulo1Car"/>
    <w:uiPriority w:val="9"/>
    <w:qFormat/>
    <w:rsid w:val="00652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FC37AE"/>
    <w:pPr>
      <w:widowControl w:val="0"/>
      <w:spacing w:after="0" w:line="240" w:lineRule="auto"/>
      <w:ind w:left="153"/>
    </w:pPr>
    <w:rPr>
      <w:rFonts w:ascii="Arial" w:eastAsia="Arial" w:hAnsi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37AE"/>
    <w:rPr>
      <w:rFonts w:ascii="Arial" w:eastAsia="Arial" w:hAnsi="Arial"/>
      <w:sz w:val="21"/>
      <w:szCs w:val="21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652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uerpoA">
    <w:name w:val="Cuerpo A"/>
    <w:rsid w:val="002D0D66"/>
    <w:rPr>
      <w:rFonts w:ascii="Calibri" w:eastAsia="Calibri" w:hAnsi="Calibri" w:cs="Calibri"/>
      <w:color w:val="000000"/>
      <w:u w:color="000000"/>
      <w:lang w:val="es-ES_tradnl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FC37AE"/>
    <w:pPr>
      <w:widowControl w:val="0"/>
      <w:spacing w:after="0" w:line="240" w:lineRule="auto"/>
      <w:ind w:left="153"/>
    </w:pPr>
    <w:rPr>
      <w:rFonts w:ascii="Arial" w:eastAsia="Arial" w:hAnsi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37AE"/>
    <w:rPr>
      <w:rFonts w:ascii="Arial" w:eastAsia="Arial" w:hAnsi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E703-6227-4818-A0EC-D37075DE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12</Pages>
  <Words>3184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</dc:creator>
  <cp:lastModifiedBy>Cotaipo</cp:lastModifiedBy>
  <cp:revision>38</cp:revision>
  <cp:lastPrinted>2017-01-18T00:16:00Z</cp:lastPrinted>
  <dcterms:created xsi:type="dcterms:W3CDTF">2016-05-31T22:15:00Z</dcterms:created>
  <dcterms:modified xsi:type="dcterms:W3CDTF">2017-01-18T00:16:00Z</dcterms:modified>
</cp:coreProperties>
</file>